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павильон визит-центра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павильон визит-центра</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BD4486">
              <w:rPr>
                <w:rFonts w:ascii="Times New Roman" w:hAnsi="Times New Roman" w:cs="Times New Roman"/>
                <w:bCs/>
                <w:sz w:val="24"/>
                <w:szCs w:val="24"/>
              </w:rPr>
              <w:t>павильон визит-центра</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BD4486" w:rsidRPr="00BD4486" w:rsidRDefault="00F13466" w:rsidP="00BD4486">
            <w:pPr>
              <w:jc w:val="both"/>
              <w:rPr>
                <w:rFonts w:ascii="Times New Roman" w:eastAsia="Times New Roman" w:hAnsi="Times New Roman" w:cs="Times New Roman"/>
                <w:sz w:val="24"/>
                <w:szCs w:val="24"/>
                <w:lang w:eastAsia="ar-SA"/>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BD4486" w:rsidRPr="00BD4486">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BD4486" w:rsidRPr="00BD4486" w:rsidRDefault="00BD4486" w:rsidP="00BD4486">
            <w:pPr>
              <w:suppressAutoHyphens/>
              <w:jc w:val="both"/>
              <w:rPr>
                <w:rFonts w:ascii="Times New Roman" w:eastAsia="Times New Roman" w:hAnsi="Times New Roman" w:cs="Times New Roman"/>
                <w:sz w:val="24"/>
                <w:szCs w:val="24"/>
                <w:lang w:eastAsia="ar-SA"/>
              </w:rPr>
            </w:pPr>
            <w:r w:rsidRPr="00BD4486">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p w:rsidR="00A22CCB" w:rsidRPr="00F13466" w:rsidRDefault="00A22CCB" w:rsidP="00BD4486">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BD4486">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 xml:space="preserve">движимого имущества </w:t>
            </w:r>
            <w:r w:rsidR="00BD4486">
              <w:rPr>
                <w:rFonts w:ascii="Times New Roman" w:hAnsi="Times New Roman" w:cs="Times New Roman"/>
                <w:sz w:val="24"/>
                <w:szCs w:val="24"/>
              </w:rPr>
              <w:t xml:space="preserve">- </w:t>
            </w:r>
            <w:r w:rsidR="00BD4486">
              <w:rPr>
                <w:rFonts w:ascii="Times New Roman" w:hAnsi="Times New Roman" w:cs="Times New Roman"/>
                <w:bCs/>
                <w:sz w:val="24"/>
                <w:szCs w:val="24"/>
              </w:rPr>
              <w:t>павильон визит-центра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685014" w:rsidP="00685014">
            <w:pPr>
              <w:autoSpaceDE w:val="0"/>
              <w:autoSpaceDN w:val="0"/>
              <w:adjustRightInd w:val="0"/>
              <w:spacing w:line="204" w:lineRule="auto"/>
              <w:contextualSpacing/>
              <w:rPr>
                <w:rFonts w:ascii="Sylfaen" w:hAnsi="Sylfaen" w:cs="Times New Roman"/>
                <w:bCs/>
                <w:sz w:val="24"/>
                <w:szCs w:val="24"/>
              </w:rPr>
            </w:pPr>
            <w:r w:rsidRPr="004F5838">
              <w:rPr>
                <w:rFonts w:ascii="Sylfaen" w:hAnsi="Sylfaen" w:cs="Times New Roman"/>
                <w:b/>
                <w:bCs/>
                <w:sz w:val="24"/>
                <w:szCs w:val="24"/>
              </w:rPr>
              <w:t>6 028 000</w:t>
            </w:r>
            <w:r w:rsidR="0078600F">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шесть</w:t>
            </w:r>
            <w:r w:rsidR="00BD4486">
              <w:rPr>
                <w:rFonts w:ascii="Sylfaen" w:hAnsi="Sylfaen" w:cs="Times New Roman"/>
                <w:bCs/>
                <w:sz w:val="24"/>
                <w:szCs w:val="24"/>
              </w:rPr>
              <w:t xml:space="preserve"> миллионов </w:t>
            </w:r>
            <w:r>
              <w:rPr>
                <w:rFonts w:ascii="Sylfaen" w:hAnsi="Sylfaen" w:cs="Times New Roman"/>
                <w:bCs/>
                <w:sz w:val="24"/>
                <w:szCs w:val="24"/>
              </w:rPr>
              <w:t xml:space="preserve">двадцать восемь </w:t>
            </w:r>
            <w:r w:rsidR="00BD4486">
              <w:rPr>
                <w:rFonts w:ascii="Sylfaen" w:hAnsi="Sylfaen" w:cs="Times New Roman"/>
                <w:bCs/>
                <w:sz w:val="24"/>
                <w:szCs w:val="24"/>
              </w:rPr>
              <w:t>тысяч</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5497E">
              <w:rPr>
                <w:rFonts w:ascii="Sylfaen" w:hAnsi="Sylfaen" w:cs="Times New Roman"/>
                <w:bCs/>
                <w:sz w:val="24"/>
                <w:szCs w:val="24"/>
              </w:rPr>
              <w:t>ей</w:t>
            </w:r>
            <w:r w:rsidR="00A27700">
              <w:rPr>
                <w:rFonts w:ascii="Sylfaen" w:hAnsi="Sylfaen" w:cs="Times New Roman"/>
                <w:bCs/>
                <w:sz w:val="24"/>
                <w:szCs w:val="24"/>
              </w:rPr>
              <w:t xml:space="preserve"> </w:t>
            </w:r>
            <w:r w:rsidR="00336A7D">
              <w:rPr>
                <w:rFonts w:ascii="Sylfaen" w:hAnsi="Sylfaen" w:cs="Times New Roman"/>
                <w:bCs/>
                <w:sz w:val="24"/>
                <w:szCs w:val="24"/>
              </w:rPr>
              <w:t>5</w:t>
            </w:r>
            <w:r>
              <w:rPr>
                <w:rFonts w:ascii="Sylfaen" w:hAnsi="Sylfaen" w:cs="Times New Roman"/>
                <w:bCs/>
                <w:sz w:val="24"/>
                <w:szCs w:val="24"/>
              </w:rPr>
              <w:t>5</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4F5838">
              <w:rPr>
                <w:rFonts w:ascii="Sylfaen" w:hAnsi="Sylfaen" w:cs="Times New Roman"/>
                <w:sz w:val="24"/>
                <w:szCs w:val="24"/>
              </w:rPr>
              <w:t>3</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4F5838">
              <w:rPr>
                <w:rFonts w:ascii="Times New Roman" w:hAnsi="Times New Roman" w:cs="Times New Roman"/>
                <w:b/>
                <w:sz w:val="24"/>
                <w:szCs w:val="24"/>
              </w:rPr>
              <w:t xml:space="preserve">180 840 </w:t>
            </w:r>
            <w:r w:rsidR="00FA1C42">
              <w:rPr>
                <w:rFonts w:ascii="Sylfaen" w:hAnsi="Sylfaen" w:cs="Times New Roman"/>
                <w:sz w:val="24"/>
                <w:szCs w:val="24"/>
              </w:rPr>
              <w:t>(</w:t>
            </w:r>
            <w:r w:rsidR="004F5838">
              <w:rPr>
                <w:rFonts w:ascii="Sylfaen" w:hAnsi="Sylfaen" w:cs="Times New Roman"/>
                <w:sz w:val="24"/>
                <w:szCs w:val="24"/>
              </w:rPr>
              <w:t xml:space="preserve">сто восемьдесят тысяч восемьсот сорок) </w:t>
            </w:r>
            <w:r w:rsidR="008079A2">
              <w:rPr>
                <w:rFonts w:ascii="Sylfaen" w:hAnsi="Sylfaen" w:cs="Times New Roman"/>
                <w:sz w:val="24"/>
                <w:szCs w:val="24"/>
              </w:rPr>
              <w:t>рублей</w:t>
            </w:r>
            <w:r w:rsidR="001B6079">
              <w:rPr>
                <w:rFonts w:ascii="Sylfaen" w:hAnsi="Sylfaen" w:cs="Times New Roman"/>
                <w:sz w:val="24"/>
                <w:szCs w:val="24"/>
              </w:rPr>
              <w:t xml:space="preserve"> </w:t>
            </w:r>
            <w:r w:rsidR="00B5316A">
              <w:rPr>
                <w:rFonts w:ascii="Sylfaen" w:hAnsi="Sylfaen" w:cs="Times New Roman"/>
                <w:sz w:val="24"/>
                <w:szCs w:val="24"/>
              </w:rPr>
              <w:t>0</w:t>
            </w:r>
            <w:r w:rsidR="004F5838">
              <w:rPr>
                <w:rFonts w:ascii="Sylfaen" w:hAnsi="Sylfaen" w:cs="Times New Roman"/>
                <w:sz w:val="24"/>
                <w:szCs w:val="24"/>
              </w:rPr>
              <w:t>2</w:t>
            </w:r>
            <w:r w:rsidR="00D83DA2">
              <w:rPr>
                <w:rFonts w:ascii="Sylfaen" w:hAnsi="Sylfaen" w:cs="Times New Roman"/>
                <w:sz w:val="24"/>
                <w:szCs w:val="24"/>
              </w:rPr>
              <w:t xml:space="preserve"> </w:t>
            </w:r>
            <w:r w:rsidR="00FA1C42">
              <w:rPr>
                <w:rFonts w:ascii="Sylfaen" w:hAnsi="Sylfaen" w:cs="Times New Roman"/>
                <w:sz w:val="24"/>
                <w:szCs w:val="24"/>
              </w:rPr>
              <w:t>копе</w:t>
            </w:r>
            <w:r w:rsidR="004F5838">
              <w:rPr>
                <w:rFonts w:ascii="Sylfaen" w:hAnsi="Sylfaen" w:cs="Times New Roman"/>
                <w:sz w:val="24"/>
                <w:szCs w:val="24"/>
              </w:rPr>
              <w:t>йки</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D44046">
              <w:rPr>
                <w:rFonts w:ascii="Times New Roman" w:hAnsi="Times New Roman" w:cs="Times New Roman"/>
                <w:bCs/>
                <w:sz w:val="24"/>
                <w:szCs w:val="24"/>
              </w:rPr>
              <w:t>павильон визит-центра</w:t>
            </w:r>
            <w:r w:rsidR="00D44046" w:rsidRPr="00CF07B7">
              <w:rPr>
                <w:rFonts w:ascii="Sylfaen" w:hAnsi="Sylfaen" w:cs="Times New Roman"/>
                <w:sz w:val="24"/>
                <w:szCs w:val="24"/>
              </w:rPr>
              <w:t xml:space="preserve">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7E3EF8">
              <w:rPr>
                <w:rFonts w:ascii="Sylfaen" w:hAnsi="Sylfaen" w:cs="Times New Roman"/>
                <w:b/>
                <w:sz w:val="24"/>
                <w:szCs w:val="24"/>
              </w:rPr>
              <w:t>1</w:t>
            </w:r>
            <w:r w:rsidR="00F175CE">
              <w:rPr>
                <w:rFonts w:ascii="Sylfaen" w:hAnsi="Sylfaen" w:cs="Times New Roman"/>
                <w:b/>
                <w:sz w:val="24"/>
                <w:szCs w:val="24"/>
              </w:rPr>
              <w:t>6</w:t>
            </w:r>
            <w:r w:rsidR="00C87BC7" w:rsidRPr="002F3D4F">
              <w:rPr>
                <w:rFonts w:ascii="Sylfaen" w:hAnsi="Sylfaen" w:cs="Times New Roman"/>
                <w:b/>
                <w:sz w:val="24"/>
                <w:szCs w:val="24"/>
              </w:rPr>
              <w:t>.</w:t>
            </w:r>
            <w:r w:rsidR="001B6079" w:rsidRPr="002F3D4F">
              <w:rPr>
                <w:rFonts w:ascii="Sylfaen" w:hAnsi="Sylfaen" w:cs="Times New Roman"/>
                <w:b/>
                <w:sz w:val="24"/>
                <w:szCs w:val="24"/>
              </w:rPr>
              <w:t>0</w:t>
            </w:r>
            <w:r w:rsidR="00F175CE">
              <w:rPr>
                <w:rFonts w:ascii="Sylfaen" w:hAnsi="Sylfaen" w:cs="Times New Roman"/>
                <w:b/>
                <w:sz w:val="24"/>
                <w:szCs w:val="24"/>
              </w:rPr>
              <w:t>8</w:t>
            </w:r>
            <w:r w:rsidRPr="00CF07B7">
              <w:rPr>
                <w:rFonts w:ascii="Sylfaen" w:hAnsi="Sylfaen" w:cs="Times New Roman"/>
                <w:b/>
                <w:sz w:val="24"/>
                <w:szCs w:val="24"/>
              </w:rPr>
              <w:t>.202</w:t>
            </w:r>
            <w:r w:rsidR="00235F1D" w:rsidRPr="00235F1D">
              <w:rPr>
                <w:rFonts w:ascii="Sylfaen" w:hAnsi="Sylfaen" w:cs="Times New Roman"/>
                <w:b/>
                <w:sz w:val="24"/>
                <w:szCs w:val="24"/>
              </w:rPr>
              <w:t>4</w:t>
            </w:r>
            <w:r w:rsidR="004C14B9" w:rsidRPr="004C14B9">
              <w:rPr>
                <w:rFonts w:ascii="Sylfaen" w:hAnsi="Sylfaen" w:cs="Times New Roman"/>
                <w:b/>
                <w:sz w:val="24"/>
                <w:szCs w:val="24"/>
              </w:rPr>
              <w:t xml:space="preserve"> </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7E3EF8">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7E3EF8">
              <w:rPr>
                <w:rFonts w:ascii="Sylfaen" w:hAnsi="Sylfaen" w:cs="Times New Roman"/>
                <w:b/>
                <w:sz w:val="24"/>
                <w:szCs w:val="24"/>
              </w:rPr>
              <w:t>16</w:t>
            </w:r>
            <w:r w:rsidRPr="00CF07B7">
              <w:rPr>
                <w:rFonts w:ascii="Sylfaen" w:hAnsi="Sylfaen" w:cs="Times New Roman"/>
                <w:b/>
                <w:sz w:val="24"/>
                <w:szCs w:val="24"/>
              </w:rPr>
              <w:t>.</w:t>
            </w:r>
            <w:r w:rsidR="006916C9">
              <w:rPr>
                <w:rFonts w:ascii="Sylfaen" w:hAnsi="Sylfaen" w:cs="Times New Roman"/>
                <w:b/>
                <w:sz w:val="24"/>
                <w:szCs w:val="24"/>
              </w:rPr>
              <w:t>0</w:t>
            </w:r>
            <w:r w:rsidR="00F175CE">
              <w:rPr>
                <w:rFonts w:ascii="Sylfaen" w:hAnsi="Sylfaen" w:cs="Times New Roman"/>
                <w:b/>
                <w:sz w:val="24"/>
                <w:szCs w:val="24"/>
              </w:rPr>
              <w:t>9</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7E3EF8">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4C14B9" w:rsidRPr="004C14B9">
              <w:rPr>
                <w:rFonts w:ascii="Sylfaen" w:hAnsi="Sylfaen" w:cs="Times New Roman"/>
                <w:b/>
                <w:sz w:val="24"/>
                <w:szCs w:val="24"/>
              </w:rPr>
              <w:t>0</w:t>
            </w:r>
            <w:r w:rsidRPr="00CF07B7">
              <w:rPr>
                <w:rFonts w:ascii="Sylfaen" w:hAnsi="Sylfaen" w:cs="Times New Roman"/>
                <w:b/>
                <w:sz w:val="24"/>
                <w:szCs w:val="24"/>
              </w:rPr>
              <w:t xml:space="preserve">:00 часов </w:t>
            </w:r>
            <w:r w:rsidR="007E3EF8">
              <w:rPr>
                <w:rFonts w:ascii="Sylfaen" w:hAnsi="Sylfaen" w:cs="Times New Roman"/>
                <w:b/>
                <w:sz w:val="24"/>
                <w:szCs w:val="24"/>
              </w:rPr>
              <w:t>18</w:t>
            </w:r>
            <w:r w:rsidR="00BF7DAA" w:rsidRPr="00CF07B7">
              <w:rPr>
                <w:rFonts w:ascii="Sylfaen" w:hAnsi="Sylfaen" w:cs="Times New Roman"/>
                <w:b/>
                <w:sz w:val="24"/>
                <w:szCs w:val="24"/>
              </w:rPr>
              <w:t>.</w:t>
            </w:r>
            <w:r w:rsidR="006916C9">
              <w:rPr>
                <w:rFonts w:ascii="Sylfaen" w:hAnsi="Sylfaen" w:cs="Times New Roman"/>
                <w:b/>
                <w:sz w:val="24"/>
                <w:szCs w:val="24"/>
              </w:rPr>
              <w:t>0</w:t>
            </w:r>
            <w:r w:rsidR="00F175CE">
              <w:rPr>
                <w:rFonts w:ascii="Sylfaen" w:hAnsi="Sylfaen" w:cs="Times New Roman"/>
                <w:b/>
                <w:sz w:val="24"/>
                <w:szCs w:val="24"/>
              </w:rPr>
              <w:t>9</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748"/>
        <w:gridCol w:w="7655"/>
      </w:tblGrid>
      <w:tr w:rsidR="0059071B" w:rsidRPr="0059071B" w:rsidTr="0059071B">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59071B">
              <w:rPr>
                <w:rFonts w:ascii="Times New Roman" w:eastAsia="Times New Roman" w:hAnsi="Times New Roman" w:cs="Times New Roman"/>
                <w:b/>
                <w:color w:val="000000"/>
                <w:lang w:eastAsia="ru-RU"/>
              </w:rPr>
              <w:t>№ п/п</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Наименование раздела</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 xml:space="preserve">Описание, конструктивные требования, </w:t>
            </w:r>
          </w:p>
          <w:p w:rsidR="0059071B" w:rsidRPr="0059071B" w:rsidRDefault="0059071B" w:rsidP="0059071B">
            <w:pPr>
              <w:suppressAutoHyphens/>
              <w:spacing w:after="0" w:line="240" w:lineRule="auto"/>
              <w:jc w:val="center"/>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предъявляемые к объекту аукциона:</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2</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3</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rPr>
                <w:rFonts w:ascii="Times New Roman" w:eastAsia="Times New Roman" w:hAnsi="Times New Roman" w:cs="Times New Roman"/>
                <w:b/>
                <w:sz w:val="24"/>
                <w:szCs w:val="24"/>
              </w:rPr>
            </w:pPr>
            <w:r w:rsidRPr="0059071B">
              <w:rPr>
                <w:rFonts w:ascii="Times New Roman" w:eastAsia="Times New Roman" w:hAnsi="Times New Roman" w:cs="Times New Roman"/>
                <w:b/>
                <w:sz w:val="24"/>
                <w:szCs w:val="24"/>
              </w:rPr>
              <w:t>Габаритные размеры</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Размеры: длина – 12,6 м., ширина – 5,4 м., высота по коньку – 4,2 м., полезная площадь 74,4</w:t>
            </w:r>
            <w:r w:rsidRPr="0059071B">
              <w:rPr>
                <w:rFonts w:ascii="Times New Roman" w:eastAsia="Times New Roman" w:hAnsi="Times New Roman" w:cs="Times New Roman"/>
                <w:sz w:val="24"/>
                <w:szCs w:val="24"/>
                <w:lang w:eastAsia="ar-SA"/>
              </w:rPr>
              <w:t xml:space="preserve"> м</w:t>
            </w:r>
            <w:r w:rsidRPr="0059071B">
              <w:rPr>
                <w:rFonts w:ascii="Times New Roman" w:eastAsia="Times New Roman" w:hAnsi="Times New Roman" w:cs="Times New Roman"/>
                <w:sz w:val="24"/>
                <w:szCs w:val="24"/>
                <w:vertAlign w:val="superscript"/>
                <w:lang w:eastAsia="ar-SA"/>
              </w:rPr>
              <w:t>2</w:t>
            </w:r>
            <w:r w:rsidRPr="0059071B">
              <w:rPr>
                <w:rFonts w:ascii="Times New Roman" w:eastAsia="Times New Roman" w:hAnsi="Times New Roman" w:cs="Times New Roman"/>
                <w:sz w:val="24"/>
                <w:szCs w:val="24"/>
              </w:rPr>
              <w:t xml:space="preserve">, высота потолка </w:t>
            </w:r>
            <w:proofErr w:type="gramStart"/>
            <w:r w:rsidRPr="0059071B">
              <w:rPr>
                <w:rFonts w:ascii="Times New Roman" w:eastAsia="Times New Roman" w:hAnsi="Times New Roman" w:cs="Times New Roman"/>
                <w:sz w:val="24"/>
                <w:szCs w:val="24"/>
              </w:rPr>
              <w:t xml:space="preserve">–  </w:t>
            </w:r>
            <w:r w:rsidRPr="0059071B">
              <w:rPr>
                <w:rFonts w:ascii="Times New Roman" w:eastAsia="Times New Roman" w:hAnsi="Times New Roman" w:cs="Times New Roman"/>
                <w:sz w:val="24"/>
                <w:szCs w:val="24"/>
                <w:lang w:eastAsia="ar-SA"/>
              </w:rPr>
              <w:t>3</w:t>
            </w:r>
            <w:proofErr w:type="gramEnd"/>
            <w:r w:rsidRPr="0059071B">
              <w:rPr>
                <w:rFonts w:ascii="Times New Roman" w:eastAsia="Times New Roman" w:hAnsi="Times New Roman" w:cs="Times New Roman"/>
                <w:sz w:val="24"/>
                <w:szCs w:val="24"/>
                <w:lang w:eastAsia="ar-SA"/>
              </w:rPr>
              <w:t xml:space="preserve"> м.</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2.</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rPr>
                <w:rFonts w:ascii="Times New Roman" w:eastAsia="Times New Roman" w:hAnsi="Times New Roman" w:cs="Times New Roman"/>
                <w:b/>
                <w:sz w:val="24"/>
                <w:szCs w:val="24"/>
              </w:rPr>
            </w:pPr>
            <w:r w:rsidRPr="0059071B">
              <w:rPr>
                <w:rFonts w:ascii="Times New Roman" w:eastAsia="Times New Roman" w:hAnsi="Times New Roman" w:cs="Times New Roman"/>
                <w:b/>
                <w:sz w:val="24"/>
                <w:szCs w:val="24"/>
              </w:rPr>
              <w:t>Внешний вид</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r w:rsidRPr="0059071B">
              <w:rPr>
                <w:rFonts w:ascii="Times New Roman" w:eastAsia="Times New Roman" w:hAnsi="Times New Roman" w:cs="Times New Roman"/>
                <w:noProof/>
                <w:sz w:val="24"/>
                <w:szCs w:val="24"/>
                <w:lang w:eastAsia="ru-RU"/>
              </w:rPr>
              <w:drawing>
                <wp:inline distT="0" distB="0" distL="0" distR="0" wp14:anchorId="4F620A63" wp14:editId="7F354B95">
                  <wp:extent cx="3975912" cy="177165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167affa-f9c9-4ab2-9743-d172feef4943.jpg"/>
                          <pic:cNvPicPr/>
                        </pic:nvPicPr>
                        <pic:blipFill rotWithShape="1">
                          <a:blip r:embed="rId8" cstate="print">
                            <a:extLst>
                              <a:ext uri="{28A0092B-C50C-407E-A947-70E740481C1C}">
                                <a14:useLocalDpi xmlns:a14="http://schemas.microsoft.com/office/drawing/2010/main" val="0"/>
                              </a:ext>
                            </a:extLst>
                          </a:blip>
                          <a:srcRect t="13642" r="1262" b="27695"/>
                          <a:stretch/>
                        </pic:blipFill>
                        <pic:spPr bwMode="auto">
                          <a:xfrm>
                            <a:off x="0" y="0"/>
                            <a:ext cx="3981829" cy="1774287"/>
                          </a:xfrm>
                          <a:prstGeom prst="rect">
                            <a:avLst/>
                          </a:prstGeom>
                          <a:ln>
                            <a:noFill/>
                          </a:ln>
                          <a:extLst>
                            <a:ext uri="{53640926-AAD7-44D8-BBD7-CCE9431645EC}">
                              <a14:shadowObscured xmlns:a14="http://schemas.microsoft.com/office/drawing/2010/main"/>
                            </a:ext>
                          </a:extLst>
                        </pic:spPr>
                      </pic:pic>
                    </a:graphicData>
                  </a:graphic>
                </wp:inline>
              </w:drawing>
            </w: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r w:rsidRPr="0059071B">
              <w:rPr>
                <w:rFonts w:ascii="Times New Roman" w:eastAsia="Times New Roman" w:hAnsi="Times New Roman" w:cs="Times New Roman"/>
                <w:noProof/>
                <w:sz w:val="24"/>
                <w:szCs w:val="24"/>
                <w:lang w:eastAsia="ru-RU"/>
              </w:rPr>
              <w:drawing>
                <wp:inline distT="0" distB="0" distL="0" distR="0" wp14:anchorId="3AA1883E" wp14:editId="61F488C4">
                  <wp:extent cx="3916680" cy="2447925"/>
                  <wp:effectExtent l="0" t="0" r="762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44e8da3-fee4-4363-8f29-c95e9a2b09d7.jpg"/>
                          <pic:cNvPicPr/>
                        </pic:nvPicPr>
                        <pic:blipFill rotWithShape="1">
                          <a:blip r:embed="rId9" cstate="print">
                            <a:extLst>
                              <a:ext uri="{28A0092B-C50C-407E-A947-70E740481C1C}">
                                <a14:useLocalDpi xmlns:a14="http://schemas.microsoft.com/office/drawing/2010/main" val="0"/>
                              </a:ext>
                            </a:extLst>
                          </a:blip>
                          <a:srcRect l="11280" t="9499" r="9565" b="24538"/>
                          <a:stretch/>
                        </pic:blipFill>
                        <pic:spPr bwMode="auto">
                          <a:xfrm>
                            <a:off x="0" y="0"/>
                            <a:ext cx="3917444" cy="2448403"/>
                          </a:xfrm>
                          <a:prstGeom prst="rect">
                            <a:avLst/>
                          </a:prstGeom>
                          <a:ln>
                            <a:noFill/>
                          </a:ln>
                          <a:extLst>
                            <a:ext uri="{53640926-AAD7-44D8-BBD7-CCE9431645EC}">
                              <a14:shadowObscured xmlns:a14="http://schemas.microsoft.com/office/drawing/2010/main"/>
                            </a:ext>
                          </a:extLst>
                        </pic:spPr>
                      </pic:pic>
                    </a:graphicData>
                  </a:graphic>
                </wp:inline>
              </w:drawing>
            </w: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2.</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Назначение, тип конструкций</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tabs>
                <w:tab w:val="left" w:pos="4500"/>
                <w:tab w:val="left" w:pos="5040"/>
                <w:tab w:val="left" w:pos="5580"/>
              </w:tabs>
              <w:suppressAutoHyphens/>
              <w:spacing w:after="0"/>
              <w:ind w:firstLine="459"/>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Предназначен для организации общественного питания</w:t>
            </w:r>
          </w:p>
          <w:p w:rsidR="0059071B" w:rsidRPr="0059071B" w:rsidRDefault="0059071B" w:rsidP="0059071B">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393"/>
            </w:tblGrid>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lastRenderedPageBreak/>
                    <w:t>Конструктивная система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Каркасная (деревянный каркас)</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Фундаменты</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Монолитный ростверк, монолитная плита</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Наружные стены</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Сэндвич панели, </w:t>
                  </w:r>
                  <w:r w:rsidRPr="0059071B">
                    <w:rPr>
                      <w:rFonts w:ascii="Times New Roman" w:eastAsia="Times New Roman" w:hAnsi="Times New Roman" w:cs="Times New Roman"/>
                      <w:lang w:val="en-US" w:eastAsia="ar-SA"/>
                    </w:rPr>
                    <w:t>t</w:t>
                  </w:r>
                  <w:r w:rsidRPr="0059071B">
                    <w:rPr>
                      <w:rFonts w:ascii="Times New Roman" w:eastAsia="Times New Roman" w:hAnsi="Times New Roman" w:cs="Times New Roman"/>
                      <w:lang w:eastAsia="ar-SA"/>
                    </w:rPr>
                    <w:t>=350 мм</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Перекрытие</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Деревянные балки. </w:t>
                  </w:r>
                </w:p>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Утеплитель – </w:t>
                  </w:r>
                  <w:proofErr w:type="spellStart"/>
                  <w:r w:rsidRPr="0059071B">
                    <w:rPr>
                      <w:rFonts w:ascii="Times New Roman" w:eastAsia="Times New Roman" w:hAnsi="Times New Roman" w:cs="Times New Roman"/>
                      <w:lang w:eastAsia="ar-SA"/>
                    </w:rPr>
                    <w:t>минераловатные</w:t>
                  </w:r>
                  <w:proofErr w:type="spellEnd"/>
                  <w:r w:rsidRPr="0059071B">
                    <w:rPr>
                      <w:rFonts w:ascii="Times New Roman" w:eastAsia="Times New Roman" w:hAnsi="Times New Roman" w:cs="Times New Roman"/>
                      <w:lang w:eastAsia="ar-SA"/>
                    </w:rPr>
                    <w:t xml:space="preserve"> плиты.</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Окна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Двухкамерные, ПВХ</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Двери</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Алюминиевые, теплые</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Крыша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Деревянные стропила и обрешетка, обработанная антисептиком и антипиренами. Покрытие –    гибкая черепица</w:t>
                  </w:r>
                </w:p>
              </w:tc>
            </w:tr>
          </w:tbl>
          <w:p w:rsidR="0059071B" w:rsidRPr="0059071B" w:rsidRDefault="0059071B" w:rsidP="0059071B">
            <w:pPr>
              <w:suppressAutoHyphens/>
              <w:spacing w:after="0" w:line="240" w:lineRule="auto"/>
              <w:rPr>
                <w:rFonts w:ascii="Times New Roman" w:eastAsia="Times New Roman" w:hAnsi="Times New Roman" w:cs="Times New Roman"/>
                <w:sz w:val="24"/>
                <w:szCs w:val="24"/>
                <w:lang w:eastAsia="ar-SA"/>
              </w:rPr>
            </w:pP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lastRenderedPageBreak/>
              <w:t>3.</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Электрика, освещение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xml:space="preserve">Электрическая проводка на 10 кВт </w:t>
            </w:r>
          </w:p>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45 розеток</w:t>
            </w:r>
          </w:p>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11 светильников</w:t>
            </w: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4.</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Наполнение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Унитаз</w:t>
            </w:r>
          </w:p>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Раковина</w:t>
            </w: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5.</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Экспликация помещений</w:t>
            </w:r>
          </w:p>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c>
          <w:tcPr>
            <w:tcW w:w="7655" w:type="dxa"/>
            <w:tcBorders>
              <w:top w:val="single" w:sz="6" w:space="0" w:color="000000"/>
              <w:left w:val="single" w:sz="6" w:space="0" w:color="000000"/>
              <w:bottom w:val="single" w:sz="6" w:space="0" w:color="000000"/>
              <w:right w:val="single" w:sz="6" w:space="0" w:color="000000"/>
            </w:tcBorders>
            <w:vAlign w:val="center"/>
          </w:tcPr>
          <w:tbl>
            <w:tblPr>
              <w:tblpPr w:leftFromText="180" w:rightFromText="180" w:vertAnchor="page"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417"/>
            </w:tblGrid>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п/п</w:t>
                  </w:r>
                </w:p>
              </w:tc>
              <w:tc>
                <w:tcPr>
                  <w:tcW w:w="2552"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Наименование помещения</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Площадь, м2</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1</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proofErr w:type="spellStart"/>
                  <w:r w:rsidRPr="0059071B">
                    <w:rPr>
                      <w:rFonts w:ascii="Times New Roman" w:eastAsia="Times New Roman" w:hAnsi="Times New Roman" w:cs="Times New Roman"/>
                      <w:lang w:eastAsia="ar-SA"/>
                    </w:rPr>
                    <w:t>Электрощитовая</w:t>
                  </w:r>
                  <w:proofErr w:type="spellEnd"/>
                </w:p>
              </w:tc>
              <w:tc>
                <w:tcPr>
                  <w:tcW w:w="1417" w:type="dxa"/>
                  <w:shd w:val="clear" w:color="auto" w:fill="auto"/>
                </w:tcPr>
                <w:p w:rsidR="0059071B" w:rsidRPr="0059071B" w:rsidRDefault="0059071B" w:rsidP="0059071B">
                  <w:pPr>
                    <w:suppressAutoHyphens/>
                    <w:spacing w:after="0" w:line="240" w:lineRule="auto"/>
                    <w:ind w:left="-112" w:firstLine="112"/>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2,0</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2</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Комната охраны</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7,2</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Комната персонала</w:t>
                  </w:r>
                </w:p>
              </w:tc>
              <w:tc>
                <w:tcPr>
                  <w:tcW w:w="1417" w:type="dxa"/>
                  <w:shd w:val="clear" w:color="auto" w:fill="auto"/>
                </w:tcPr>
                <w:p w:rsidR="0059071B" w:rsidRPr="0059071B" w:rsidRDefault="0059071B" w:rsidP="0059071B">
                  <w:pPr>
                    <w:suppressAutoHyphens/>
                    <w:spacing w:after="0" w:line="240" w:lineRule="auto"/>
                    <w:ind w:right="-89"/>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5,0</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4</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Санузел</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3,8</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Склад</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3,4</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6</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Холл</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53,0</w:t>
                  </w:r>
                </w:p>
              </w:tc>
            </w:tr>
          </w:tbl>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59071B" w:rsidRPr="0059071B" w:rsidTr="0059071B">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6.</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Адрес установки</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lastRenderedPageBreak/>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59071B">
        <w:rPr>
          <w:rFonts w:ascii="Times New Roman" w:hAnsi="Times New Roman" w:cs="Times New Roman"/>
          <w:bCs/>
          <w:sz w:val="24"/>
          <w:szCs w:val="24"/>
        </w:rPr>
        <w:t>павильон визит-центра</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59071B">
        <w:rPr>
          <w:rFonts w:ascii="Times New Roman" w:hAnsi="Times New Roman" w:cs="Times New Roman"/>
          <w:bCs/>
          <w:sz w:val="24"/>
          <w:szCs w:val="24"/>
        </w:rPr>
        <w:t>павильон визит-центра</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59071B">
        <w:rPr>
          <w:rFonts w:ascii="Sylfaen" w:hAnsi="Sylfaen" w:cs="Times New Roman"/>
          <w:sz w:val="24"/>
          <w:szCs w:val="24"/>
        </w:rPr>
        <w:t xml:space="preserve"> </w:t>
      </w:r>
      <w:r w:rsidR="0059071B">
        <w:rPr>
          <w:rFonts w:ascii="Times New Roman" w:hAnsi="Times New Roman" w:cs="Times New Roman"/>
          <w:bCs/>
          <w:sz w:val="24"/>
          <w:szCs w:val="24"/>
        </w:rPr>
        <w:t>павильон визит-центра</w:t>
      </w:r>
      <w:r w:rsidR="00B17D77">
        <w:rPr>
          <w:rFonts w:ascii="Times New Roman" w:hAnsi="Times New Roman" w:cs="Times New Roman"/>
          <w:bCs/>
          <w:sz w:val="24"/>
          <w:szCs w:val="24"/>
        </w:rPr>
        <w:t>.</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10"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59071B">
        <w:rPr>
          <w:rFonts w:ascii="Times New Roman" w:hAnsi="Times New Roman" w:cs="Times New Roman"/>
          <w:sz w:val="24"/>
          <w:szCs w:val="24"/>
        </w:rPr>
        <w:t xml:space="preserve"> </w:t>
      </w:r>
      <w:r w:rsidR="0059071B">
        <w:rPr>
          <w:rFonts w:ascii="Times New Roman" w:hAnsi="Times New Roman" w:cs="Times New Roman"/>
          <w:bCs/>
          <w:sz w:val="24"/>
          <w:szCs w:val="24"/>
        </w:rPr>
        <w:t>павильон визит-центра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2"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5"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7E3EF8">
        <w:rPr>
          <w:rFonts w:ascii="Sylfaen" w:hAnsi="Sylfaen" w:cs="Times New Roman"/>
          <w:sz w:val="24"/>
          <w:szCs w:val="24"/>
        </w:rPr>
        <w:t>1</w:t>
      </w:r>
      <w:r w:rsidR="00F175CE">
        <w:rPr>
          <w:rFonts w:ascii="Sylfaen" w:hAnsi="Sylfaen" w:cs="Times New Roman"/>
          <w:sz w:val="24"/>
          <w:szCs w:val="24"/>
        </w:rPr>
        <w:t>6</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F175CE">
        <w:rPr>
          <w:rFonts w:ascii="Sylfaen" w:hAnsi="Sylfaen" w:cs="Times New Roman"/>
          <w:sz w:val="24"/>
          <w:szCs w:val="24"/>
          <w:highlight w:val="cyan"/>
        </w:rPr>
        <w:t>8</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7E3EF8">
        <w:rPr>
          <w:rFonts w:ascii="Sylfaen" w:hAnsi="Sylfaen" w:cs="Times New Roman"/>
          <w:sz w:val="24"/>
          <w:szCs w:val="24"/>
          <w:highlight w:val="cyan"/>
        </w:rPr>
        <w:t>16</w:t>
      </w:r>
      <w:r w:rsidRPr="00CF07B7">
        <w:rPr>
          <w:rFonts w:ascii="Sylfaen" w:hAnsi="Sylfaen" w:cs="Times New Roman"/>
          <w:sz w:val="24"/>
          <w:szCs w:val="24"/>
          <w:highlight w:val="cyan"/>
        </w:rPr>
        <w:t>.</w:t>
      </w:r>
      <w:r w:rsidR="00394277">
        <w:rPr>
          <w:rFonts w:ascii="Sylfaen" w:hAnsi="Sylfaen" w:cs="Times New Roman"/>
          <w:sz w:val="24"/>
          <w:szCs w:val="24"/>
          <w:highlight w:val="cyan"/>
        </w:rPr>
        <w:t>0</w:t>
      </w:r>
      <w:r w:rsidR="00F175CE">
        <w:rPr>
          <w:rFonts w:ascii="Sylfaen" w:hAnsi="Sylfaen" w:cs="Times New Roman"/>
          <w:sz w:val="24"/>
          <w:szCs w:val="24"/>
          <w:highlight w:val="cyan"/>
        </w:rPr>
        <w:t>9</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6"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59071B" w:rsidRPr="007E3EF8" w:rsidRDefault="008E1A49" w:rsidP="002A641D">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7E3EF8">
        <w:rPr>
          <w:rFonts w:ascii="Sylfaen" w:hAnsi="Sylfaen" w:cs="Times New Roman"/>
          <w:sz w:val="24"/>
          <w:szCs w:val="24"/>
        </w:rPr>
        <w:t xml:space="preserve">Размер задатка по лоту – </w:t>
      </w:r>
      <w:r w:rsidR="007E3EF8" w:rsidRPr="007E3EF8">
        <w:rPr>
          <w:rFonts w:ascii="Sylfaen" w:hAnsi="Sylfaen" w:cs="Times New Roman"/>
          <w:sz w:val="24"/>
          <w:szCs w:val="24"/>
        </w:rPr>
        <w:t>3</w:t>
      </w:r>
      <w:r w:rsidRPr="007E3EF8">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7E3EF8">
        <w:rPr>
          <w:rFonts w:ascii="Times New Roman" w:hAnsi="Times New Roman" w:cs="Times New Roman"/>
          <w:b/>
          <w:sz w:val="24"/>
          <w:szCs w:val="24"/>
        </w:rPr>
        <w:t xml:space="preserve">180 840 </w:t>
      </w:r>
      <w:r w:rsidR="007E3EF8">
        <w:rPr>
          <w:rFonts w:ascii="Sylfaen" w:hAnsi="Sylfaen" w:cs="Times New Roman"/>
          <w:sz w:val="24"/>
          <w:szCs w:val="24"/>
        </w:rPr>
        <w:t>(сто восемьдесят тысяч восемьсот сорок) рублей 02 копейки</w:t>
      </w:r>
      <w:r w:rsidR="007E3EF8" w:rsidRPr="00CF07B7">
        <w:rPr>
          <w:rFonts w:ascii="Sylfaen" w:hAnsi="Sylfaen" w:cs="Times New Roman"/>
          <w:sz w:val="24"/>
          <w:szCs w:val="24"/>
        </w:rPr>
        <w:t xml:space="preserve">. </w:t>
      </w:r>
    </w:p>
    <w:p w:rsidR="00117B7D" w:rsidRPr="0059071B" w:rsidRDefault="00117B7D" w:rsidP="0059071B">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59071B">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59071B">
        <w:rPr>
          <w:rFonts w:ascii="Sylfaen" w:hAnsi="Sylfaen" w:cs="Times New Roman"/>
          <w:sz w:val="24"/>
          <w:szCs w:val="24"/>
        </w:rPr>
        <w:t>а</w:t>
      </w:r>
      <w:r w:rsidR="0044778C" w:rsidRPr="0059071B">
        <w:rPr>
          <w:rFonts w:ascii="Times New Roman" w:eastAsia="Times New Roman" w:hAnsi="Times New Roman" w:cs="Times New Roman"/>
          <w:color w:val="000000" w:themeColor="text1"/>
          <w:sz w:val="24"/>
          <w:szCs w:val="24"/>
          <w:lang w:eastAsia="ru-RU"/>
        </w:rPr>
        <w:t>ренды</w:t>
      </w:r>
      <w:r w:rsidR="00450092" w:rsidRPr="0059071B">
        <w:rPr>
          <w:rFonts w:ascii="Times New Roman" w:hAnsi="Times New Roman" w:cs="Times New Roman"/>
          <w:sz w:val="24"/>
          <w:szCs w:val="24"/>
        </w:rPr>
        <w:t xml:space="preserve"> на право заключение договора </w:t>
      </w:r>
      <w:r w:rsidR="00450092" w:rsidRPr="0059071B">
        <w:rPr>
          <w:rFonts w:ascii="Times New Roman" w:eastAsia="Times New Roman" w:hAnsi="Times New Roman" w:cs="Times New Roman"/>
          <w:color w:val="000000" w:themeColor="text1"/>
          <w:sz w:val="24"/>
          <w:szCs w:val="24"/>
          <w:lang w:eastAsia="ru-RU"/>
        </w:rPr>
        <w:t xml:space="preserve">аренда </w:t>
      </w:r>
      <w:r w:rsidR="00450092" w:rsidRPr="0059071B">
        <w:rPr>
          <w:rFonts w:ascii="Times New Roman" w:hAnsi="Times New Roman" w:cs="Times New Roman"/>
          <w:sz w:val="24"/>
          <w:szCs w:val="24"/>
        </w:rPr>
        <w:t>движимого имущества –</w:t>
      </w:r>
      <w:r w:rsidR="005411D0" w:rsidRPr="005411D0">
        <w:rPr>
          <w:rFonts w:ascii="Times New Roman" w:hAnsi="Times New Roman" w:cs="Times New Roman"/>
          <w:bCs/>
          <w:sz w:val="24"/>
          <w:szCs w:val="24"/>
        </w:rPr>
        <w:t xml:space="preserve"> </w:t>
      </w:r>
      <w:r w:rsidR="005411D0">
        <w:rPr>
          <w:rFonts w:ascii="Times New Roman" w:hAnsi="Times New Roman" w:cs="Times New Roman"/>
          <w:bCs/>
          <w:sz w:val="24"/>
          <w:szCs w:val="24"/>
        </w:rPr>
        <w:t>павильон визит-центра</w:t>
      </w:r>
      <w:r w:rsidR="00450092" w:rsidRPr="0059071B">
        <w:rPr>
          <w:rFonts w:ascii="Times New Roman" w:hAnsi="Times New Roman" w:cs="Times New Roman"/>
          <w:bCs/>
          <w:sz w:val="24"/>
          <w:szCs w:val="24"/>
        </w:rPr>
        <w:t xml:space="preserve"> </w:t>
      </w:r>
      <w:r w:rsidR="00FE0560" w:rsidRPr="0059071B">
        <w:rPr>
          <w:rFonts w:ascii="Sylfaen" w:hAnsi="Sylfaen" w:cs="Times New Roman"/>
          <w:sz w:val="24"/>
          <w:szCs w:val="24"/>
        </w:rPr>
        <w:t>(извещение № ____</w:t>
      </w:r>
      <w:r w:rsidR="00976972" w:rsidRPr="0059071B">
        <w:rPr>
          <w:rFonts w:ascii="Sylfaen" w:hAnsi="Sylfaen" w:cs="Times New Roman"/>
          <w:sz w:val="24"/>
          <w:szCs w:val="24"/>
        </w:rPr>
        <w:t>)</w:t>
      </w:r>
      <w:r w:rsidRPr="0059071B">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7"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0802A3">
        <w:rPr>
          <w:rFonts w:ascii="Sylfaen" w:hAnsi="Sylfaen" w:cs="Times New Roman"/>
          <w:sz w:val="24"/>
          <w:szCs w:val="24"/>
        </w:rPr>
        <w:t xml:space="preserve"> </w:t>
      </w:r>
      <w:r w:rsidR="000802A3" w:rsidRPr="000802A3">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8"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9"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20"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2F7E97">
        <w:rPr>
          <w:rFonts w:ascii="Sylfaen" w:hAnsi="Sylfaen" w:cs="Times New Roman"/>
          <w:sz w:val="24"/>
          <w:szCs w:val="24"/>
        </w:rPr>
        <w:t>10</w:t>
      </w:r>
      <w:r w:rsidR="00824AEA" w:rsidRPr="00CF07B7">
        <w:rPr>
          <w:rFonts w:ascii="Sylfaen" w:hAnsi="Sylfaen" w:cs="Times New Roman"/>
          <w:sz w:val="24"/>
          <w:szCs w:val="24"/>
        </w:rPr>
        <w:t xml:space="preserve"> (</w:t>
      </w:r>
      <w:r w:rsidR="002F7E97">
        <w:rPr>
          <w:rFonts w:ascii="Sylfaen" w:hAnsi="Sylfaen" w:cs="Times New Roman"/>
          <w:sz w:val="24"/>
          <w:szCs w:val="24"/>
        </w:rPr>
        <w:t>десяти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2"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4"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5"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6"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 визит-центра</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F175CE">
        <w:rPr>
          <w:rFonts w:ascii="Sylfaen" w:hAnsi="Sylfaen" w:cs="Times New Roman"/>
          <w:bCs/>
          <w:sz w:val="24"/>
          <w:szCs w:val="24"/>
        </w:rPr>
        <w:t>6 028 000 (шесть миллионов двадцать восемь тысяч) рублей 55 копеек</w:t>
      </w:r>
      <w:r w:rsidR="00F175CE">
        <w:rPr>
          <w:rFonts w:ascii="Sylfaen" w:hAnsi="Sylfaen" w:cs="Times New Roman"/>
          <w:bCs/>
          <w:sz w:val="24"/>
          <w:szCs w:val="24"/>
        </w:rPr>
        <w:softHyphen/>
        <w:t xml:space="preserve"> </w:t>
      </w:r>
      <w:r w:rsidR="00F175CE">
        <w:rPr>
          <w:rFonts w:ascii="Sylfaen" w:hAnsi="Sylfaen" w:cs="Times New Roman"/>
          <w:sz w:val="24"/>
          <w:szCs w:val="24"/>
        </w:rPr>
        <w:t>за весь период действия договора аренды</w:t>
      </w:r>
      <w:r w:rsidR="00F175CE">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7E3EF8">
        <w:rPr>
          <w:rFonts w:ascii="Sylfaen" w:hAnsi="Sylfaen" w:cs="Times New Roman"/>
          <w:sz w:val="24"/>
          <w:szCs w:val="24"/>
          <w:highlight w:val="cyan"/>
        </w:rPr>
        <w:t>1</w:t>
      </w:r>
      <w:r w:rsidR="00F175CE">
        <w:rPr>
          <w:rFonts w:ascii="Sylfaen" w:hAnsi="Sylfaen" w:cs="Times New Roman"/>
          <w:sz w:val="24"/>
          <w:szCs w:val="24"/>
          <w:highlight w:val="cyan"/>
        </w:rPr>
        <w:t>6</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F175CE">
        <w:rPr>
          <w:rFonts w:ascii="Sylfaen" w:hAnsi="Sylfaen" w:cs="Times New Roman"/>
          <w:sz w:val="24"/>
          <w:szCs w:val="24"/>
          <w:highlight w:val="cyan"/>
        </w:rPr>
        <w:t>8</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7E3EF8">
        <w:rPr>
          <w:rFonts w:ascii="Sylfaen" w:hAnsi="Sylfaen" w:cs="Times New Roman"/>
          <w:sz w:val="24"/>
          <w:szCs w:val="24"/>
          <w:highlight w:val="cyan"/>
        </w:rPr>
        <w:t>16</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F175CE">
        <w:rPr>
          <w:rFonts w:ascii="Sylfaen" w:hAnsi="Sylfaen" w:cs="Times New Roman"/>
          <w:sz w:val="24"/>
          <w:szCs w:val="24"/>
          <w:highlight w:val="cyan"/>
        </w:rPr>
        <w:t>9</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7E3EF8">
        <w:rPr>
          <w:rFonts w:ascii="Sylfaen" w:hAnsi="Sylfaen" w:cs="Times New Roman"/>
          <w:sz w:val="24"/>
          <w:szCs w:val="24"/>
          <w:highlight w:val="cyan"/>
        </w:rPr>
        <w:t>16</w:t>
      </w:r>
      <w:r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F175CE">
        <w:rPr>
          <w:rFonts w:ascii="Sylfaen" w:hAnsi="Sylfaen" w:cs="Times New Roman"/>
          <w:sz w:val="24"/>
          <w:szCs w:val="24"/>
          <w:highlight w:val="cyan"/>
        </w:rPr>
        <w:t>9</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036207" w:rsidRPr="0003620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7E3EF8">
        <w:rPr>
          <w:rFonts w:ascii="Sylfaen" w:hAnsi="Sylfaen" w:cs="Times New Roman"/>
          <w:sz w:val="24"/>
          <w:szCs w:val="24"/>
          <w:highlight w:val="cyan"/>
        </w:rPr>
        <w:t>17</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F175CE">
        <w:rPr>
          <w:rFonts w:ascii="Sylfaen" w:hAnsi="Sylfaen" w:cs="Times New Roman"/>
          <w:sz w:val="24"/>
          <w:szCs w:val="24"/>
          <w:highlight w:val="cyan"/>
        </w:rPr>
        <w:t>9</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7"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036207" w:rsidRPr="00036207">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7E3EF8">
        <w:rPr>
          <w:rFonts w:ascii="Sylfaen" w:hAnsi="Sylfaen" w:cs="Times New Roman"/>
          <w:sz w:val="24"/>
          <w:szCs w:val="24"/>
          <w:highlight w:val="cyan"/>
        </w:rPr>
        <w:t>18</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F175CE">
        <w:rPr>
          <w:rFonts w:ascii="Sylfaen" w:hAnsi="Sylfaen" w:cs="Times New Roman"/>
          <w:sz w:val="24"/>
          <w:szCs w:val="24"/>
          <w:highlight w:val="cyan"/>
        </w:rPr>
        <w:t>9</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8"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AD22F4">
        <w:rPr>
          <w:rFonts w:ascii="Times New Roman" w:hAnsi="Times New Roman" w:cs="Times New Roman"/>
          <w:bCs/>
          <w:sz w:val="24"/>
          <w:szCs w:val="24"/>
        </w:rPr>
        <w:t>павильон визит-центра.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spellStart"/>
      <w:proofErr w:type="gramStart"/>
      <w:r w:rsidRPr="00CF07B7">
        <w:rPr>
          <w:rFonts w:ascii="Sylfaen" w:hAnsi="Sylfaen" w:cs="Times New Roman"/>
          <w:sz w:val="24"/>
          <w:szCs w:val="24"/>
        </w:rPr>
        <w:t>назначение:</w:t>
      </w:r>
      <w:r w:rsidR="007E3EF8">
        <w:rPr>
          <w:rFonts w:ascii="Sylfaen" w:hAnsi="Sylfaen" w:cs="Times New Roman"/>
          <w:sz w:val="24"/>
          <w:szCs w:val="24"/>
        </w:rPr>
        <w:t>аренда</w:t>
      </w:r>
      <w:proofErr w:type="spellEnd"/>
      <w:proofErr w:type="gramEnd"/>
      <w:r w:rsidR="00F94626" w:rsidRPr="00CF07B7">
        <w:rPr>
          <w:rFonts w:ascii="Sylfaen" w:hAnsi="Sylfaen" w:cs="Times New Roman"/>
          <w:sz w:val="24"/>
          <w:szCs w:val="24"/>
        </w:rPr>
        <w:t>.</w:t>
      </w:r>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748"/>
        <w:gridCol w:w="7655"/>
      </w:tblGrid>
      <w:tr w:rsidR="00AC6BE1" w:rsidRPr="00AC6BE1" w:rsidTr="00151F62">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AC6BE1">
              <w:rPr>
                <w:rFonts w:ascii="Times New Roman" w:eastAsia="Times New Roman" w:hAnsi="Times New Roman" w:cs="Times New Roman"/>
                <w:b/>
                <w:color w:val="000000"/>
                <w:lang w:eastAsia="ru-RU"/>
              </w:rPr>
              <w:t>№ п/п</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Наименование раздела</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 xml:space="preserve">Описание, конструктивные требования, </w:t>
            </w:r>
          </w:p>
          <w:p w:rsidR="00AC6BE1" w:rsidRPr="00AC6BE1" w:rsidRDefault="00AC6BE1" w:rsidP="00AC6BE1">
            <w:pPr>
              <w:suppressAutoHyphens/>
              <w:spacing w:after="0" w:line="240" w:lineRule="auto"/>
              <w:jc w:val="center"/>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предъявляемые к объекту аукциона:</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2</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3</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rPr>
                <w:rFonts w:ascii="Times New Roman" w:eastAsia="Times New Roman" w:hAnsi="Times New Roman" w:cs="Times New Roman"/>
                <w:b/>
                <w:sz w:val="24"/>
                <w:szCs w:val="24"/>
              </w:rPr>
            </w:pPr>
            <w:r w:rsidRPr="00AC6BE1">
              <w:rPr>
                <w:rFonts w:ascii="Times New Roman" w:eastAsia="Times New Roman" w:hAnsi="Times New Roman" w:cs="Times New Roman"/>
                <w:b/>
                <w:sz w:val="24"/>
                <w:szCs w:val="24"/>
              </w:rPr>
              <w:t>Габаритные размеры</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Размеры: длина – 12,6 м., ширина – 5,4 м., высота по коньку – 4,2 м., полезная площадь 74,4</w:t>
            </w:r>
            <w:r w:rsidRPr="00AC6BE1">
              <w:rPr>
                <w:rFonts w:ascii="Times New Roman" w:eastAsia="Times New Roman" w:hAnsi="Times New Roman" w:cs="Times New Roman"/>
                <w:sz w:val="24"/>
                <w:szCs w:val="24"/>
                <w:lang w:eastAsia="ar-SA"/>
              </w:rPr>
              <w:t xml:space="preserve"> м</w:t>
            </w:r>
            <w:r w:rsidRPr="00AC6BE1">
              <w:rPr>
                <w:rFonts w:ascii="Times New Roman" w:eastAsia="Times New Roman" w:hAnsi="Times New Roman" w:cs="Times New Roman"/>
                <w:sz w:val="24"/>
                <w:szCs w:val="24"/>
                <w:vertAlign w:val="superscript"/>
                <w:lang w:eastAsia="ar-SA"/>
              </w:rPr>
              <w:t>2</w:t>
            </w:r>
            <w:r w:rsidRPr="00AC6BE1">
              <w:rPr>
                <w:rFonts w:ascii="Times New Roman" w:eastAsia="Times New Roman" w:hAnsi="Times New Roman" w:cs="Times New Roman"/>
                <w:sz w:val="24"/>
                <w:szCs w:val="24"/>
              </w:rPr>
              <w:t xml:space="preserve">, высота потолка </w:t>
            </w:r>
            <w:proofErr w:type="gramStart"/>
            <w:r w:rsidRPr="00AC6BE1">
              <w:rPr>
                <w:rFonts w:ascii="Times New Roman" w:eastAsia="Times New Roman" w:hAnsi="Times New Roman" w:cs="Times New Roman"/>
                <w:sz w:val="24"/>
                <w:szCs w:val="24"/>
              </w:rPr>
              <w:t xml:space="preserve">–  </w:t>
            </w:r>
            <w:r w:rsidRPr="00AC6BE1">
              <w:rPr>
                <w:rFonts w:ascii="Times New Roman" w:eastAsia="Times New Roman" w:hAnsi="Times New Roman" w:cs="Times New Roman"/>
                <w:sz w:val="24"/>
                <w:szCs w:val="24"/>
                <w:lang w:eastAsia="ar-SA"/>
              </w:rPr>
              <w:t>3</w:t>
            </w:r>
            <w:proofErr w:type="gramEnd"/>
            <w:r w:rsidRPr="00AC6BE1">
              <w:rPr>
                <w:rFonts w:ascii="Times New Roman" w:eastAsia="Times New Roman" w:hAnsi="Times New Roman" w:cs="Times New Roman"/>
                <w:sz w:val="24"/>
                <w:szCs w:val="24"/>
                <w:lang w:eastAsia="ar-SA"/>
              </w:rPr>
              <w:t xml:space="preserve"> м.</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2.</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rPr>
                <w:rFonts w:ascii="Times New Roman" w:eastAsia="Times New Roman" w:hAnsi="Times New Roman" w:cs="Times New Roman"/>
                <w:b/>
                <w:sz w:val="24"/>
                <w:szCs w:val="24"/>
              </w:rPr>
            </w:pPr>
            <w:r w:rsidRPr="00AC6BE1">
              <w:rPr>
                <w:rFonts w:ascii="Times New Roman" w:eastAsia="Times New Roman" w:hAnsi="Times New Roman" w:cs="Times New Roman"/>
                <w:b/>
                <w:sz w:val="24"/>
                <w:szCs w:val="24"/>
              </w:rPr>
              <w:t>Внешний вид</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r w:rsidRPr="00AC6BE1">
              <w:rPr>
                <w:rFonts w:ascii="Times New Roman" w:eastAsia="Times New Roman" w:hAnsi="Times New Roman" w:cs="Times New Roman"/>
                <w:noProof/>
                <w:sz w:val="24"/>
                <w:szCs w:val="24"/>
                <w:lang w:eastAsia="ru-RU"/>
              </w:rPr>
              <w:drawing>
                <wp:inline distT="0" distB="0" distL="0" distR="0" wp14:anchorId="48F9182E" wp14:editId="1721767A">
                  <wp:extent cx="3975912" cy="177165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167affa-f9c9-4ab2-9743-d172feef4943.jpg"/>
                          <pic:cNvPicPr/>
                        </pic:nvPicPr>
                        <pic:blipFill rotWithShape="1">
                          <a:blip r:embed="rId8" cstate="print">
                            <a:extLst>
                              <a:ext uri="{28A0092B-C50C-407E-A947-70E740481C1C}">
                                <a14:useLocalDpi xmlns:a14="http://schemas.microsoft.com/office/drawing/2010/main" val="0"/>
                              </a:ext>
                            </a:extLst>
                          </a:blip>
                          <a:srcRect t="13642" r="1262" b="27695"/>
                          <a:stretch/>
                        </pic:blipFill>
                        <pic:spPr bwMode="auto">
                          <a:xfrm>
                            <a:off x="0" y="0"/>
                            <a:ext cx="3981829" cy="1774287"/>
                          </a:xfrm>
                          <a:prstGeom prst="rect">
                            <a:avLst/>
                          </a:prstGeom>
                          <a:ln>
                            <a:noFill/>
                          </a:ln>
                          <a:extLst>
                            <a:ext uri="{53640926-AAD7-44D8-BBD7-CCE9431645EC}">
                              <a14:shadowObscured xmlns:a14="http://schemas.microsoft.com/office/drawing/2010/main"/>
                            </a:ext>
                          </a:extLst>
                        </pic:spPr>
                      </pic:pic>
                    </a:graphicData>
                  </a:graphic>
                </wp:inline>
              </w:drawing>
            </w: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r w:rsidRPr="00AC6BE1">
              <w:rPr>
                <w:rFonts w:ascii="Times New Roman" w:eastAsia="Times New Roman" w:hAnsi="Times New Roman" w:cs="Times New Roman"/>
                <w:noProof/>
                <w:sz w:val="24"/>
                <w:szCs w:val="24"/>
                <w:lang w:eastAsia="ru-RU"/>
              </w:rPr>
              <w:lastRenderedPageBreak/>
              <w:drawing>
                <wp:inline distT="0" distB="0" distL="0" distR="0" wp14:anchorId="79CAF105" wp14:editId="798D50B0">
                  <wp:extent cx="3916680" cy="2447925"/>
                  <wp:effectExtent l="0" t="0" r="762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44e8da3-fee4-4363-8f29-c95e9a2b09d7.jpg"/>
                          <pic:cNvPicPr/>
                        </pic:nvPicPr>
                        <pic:blipFill rotWithShape="1">
                          <a:blip r:embed="rId9" cstate="print">
                            <a:extLst>
                              <a:ext uri="{28A0092B-C50C-407E-A947-70E740481C1C}">
                                <a14:useLocalDpi xmlns:a14="http://schemas.microsoft.com/office/drawing/2010/main" val="0"/>
                              </a:ext>
                            </a:extLst>
                          </a:blip>
                          <a:srcRect l="11280" t="9499" r="9565" b="24538"/>
                          <a:stretch/>
                        </pic:blipFill>
                        <pic:spPr bwMode="auto">
                          <a:xfrm>
                            <a:off x="0" y="0"/>
                            <a:ext cx="3917444" cy="2448403"/>
                          </a:xfrm>
                          <a:prstGeom prst="rect">
                            <a:avLst/>
                          </a:prstGeom>
                          <a:ln>
                            <a:noFill/>
                          </a:ln>
                          <a:extLst>
                            <a:ext uri="{53640926-AAD7-44D8-BBD7-CCE9431645EC}">
                              <a14:shadowObscured xmlns:a14="http://schemas.microsoft.com/office/drawing/2010/main"/>
                            </a:ext>
                          </a:extLst>
                        </pic:spPr>
                      </pic:pic>
                    </a:graphicData>
                  </a:graphic>
                </wp:inline>
              </w:drawing>
            </w: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lastRenderedPageBreak/>
              <w:t>2.</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Назначение, тип конструкций</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tabs>
                <w:tab w:val="left" w:pos="4500"/>
                <w:tab w:val="left" w:pos="5040"/>
                <w:tab w:val="left" w:pos="5580"/>
              </w:tabs>
              <w:suppressAutoHyphens/>
              <w:spacing w:after="0"/>
              <w:ind w:firstLine="459"/>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Предназначен для организации общественного питания</w:t>
            </w:r>
          </w:p>
          <w:p w:rsidR="00AC6BE1" w:rsidRPr="00AC6BE1" w:rsidRDefault="00AC6BE1" w:rsidP="00AC6BE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393"/>
            </w:tblGrid>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Конструктивная система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Каркасная (деревянный каркас)</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Фундаменты</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Монолитный ростверк, монолитная плита</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Наружные стены</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Сэндвич панели, </w:t>
                  </w:r>
                  <w:r w:rsidRPr="00AC6BE1">
                    <w:rPr>
                      <w:rFonts w:ascii="Times New Roman" w:eastAsia="Times New Roman" w:hAnsi="Times New Roman" w:cs="Times New Roman"/>
                      <w:lang w:val="en-US" w:eastAsia="ar-SA"/>
                    </w:rPr>
                    <w:t>t</w:t>
                  </w:r>
                  <w:r w:rsidRPr="00AC6BE1">
                    <w:rPr>
                      <w:rFonts w:ascii="Times New Roman" w:eastAsia="Times New Roman" w:hAnsi="Times New Roman" w:cs="Times New Roman"/>
                      <w:lang w:eastAsia="ar-SA"/>
                    </w:rPr>
                    <w:t>=350 мм</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Перекрытие</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Деревянные балки. </w:t>
                  </w:r>
                </w:p>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Утеплитель – </w:t>
                  </w:r>
                  <w:proofErr w:type="spellStart"/>
                  <w:r w:rsidRPr="00AC6BE1">
                    <w:rPr>
                      <w:rFonts w:ascii="Times New Roman" w:eastAsia="Times New Roman" w:hAnsi="Times New Roman" w:cs="Times New Roman"/>
                      <w:lang w:eastAsia="ar-SA"/>
                    </w:rPr>
                    <w:t>минераловатные</w:t>
                  </w:r>
                  <w:proofErr w:type="spellEnd"/>
                  <w:r w:rsidRPr="00AC6BE1">
                    <w:rPr>
                      <w:rFonts w:ascii="Times New Roman" w:eastAsia="Times New Roman" w:hAnsi="Times New Roman" w:cs="Times New Roman"/>
                      <w:lang w:eastAsia="ar-SA"/>
                    </w:rPr>
                    <w:t xml:space="preserve"> плиты.</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Окна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Двухкамерные, ПВХ</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Двери</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Алюминиевые, теплые</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Крыша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Деревянные стропила и обрешетка, обработанная антисептиком и антипиренами. Покрытие –    гибкая черепица</w:t>
                  </w:r>
                </w:p>
              </w:tc>
            </w:tr>
          </w:tbl>
          <w:p w:rsidR="00AC6BE1" w:rsidRPr="00AC6BE1" w:rsidRDefault="00AC6BE1" w:rsidP="00AC6BE1">
            <w:pPr>
              <w:suppressAutoHyphens/>
              <w:spacing w:after="0" w:line="240" w:lineRule="auto"/>
              <w:rPr>
                <w:rFonts w:ascii="Times New Roman" w:eastAsia="Times New Roman" w:hAnsi="Times New Roman" w:cs="Times New Roman"/>
                <w:sz w:val="24"/>
                <w:szCs w:val="24"/>
                <w:lang w:eastAsia="ar-SA"/>
              </w:rPr>
            </w:pP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3.</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Электрика, освещение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xml:space="preserve">Электрическая проводка на 10 кВт </w:t>
            </w:r>
          </w:p>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45 розеток</w:t>
            </w:r>
          </w:p>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11 светильников</w:t>
            </w: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4.</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Наполнение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Унитаз</w:t>
            </w:r>
          </w:p>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Раковина</w:t>
            </w: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5.</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Экспликация помещений</w:t>
            </w:r>
          </w:p>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c>
          <w:tcPr>
            <w:tcW w:w="7655" w:type="dxa"/>
            <w:tcBorders>
              <w:top w:val="single" w:sz="6" w:space="0" w:color="000000"/>
              <w:left w:val="single" w:sz="6" w:space="0" w:color="000000"/>
              <w:bottom w:val="single" w:sz="6" w:space="0" w:color="000000"/>
              <w:right w:val="single" w:sz="6" w:space="0" w:color="000000"/>
            </w:tcBorders>
            <w:vAlign w:val="center"/>
          </w:tcPr>
          <w:tbl>
            <w:tblPr>
              <w:tblpPr w:leftFromText="180" w:rightFromText="180" w:vertAnchor="page"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417"/>
            </w:tblGrid>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п/п</w:t>
                  </w:r>
                </w:p>
              </w:tc>
              <w:tc>
                <w:tcPr>
                  <w:tcW w:w="2552"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Наименование помещения</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Площадь, м2</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1</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proofErr w:type="spellStart"/>
                  <w:r w:rsidRPr="00AC6BE1">
                    <w:rPr>
                      <w:rFonts w:ascii="Times New Roman" w:eastAsia="Times New Roman" w:hAnsi="Times New Roman" w:cs="Times New Roman"/>
                      <w:lang w:eastAsia="ar-SA"/>
                    </w:rPr>
                    <w:t>Электрощитовая</w:t>
                  </w:r>
                  <w:proofErr w:type="spellEnd"/>
                </w:p>
              </w:tc>
              <w:tc>
                <w:tcPr>
                  <w:tcW w:w="1417" w:type="dxa"/>
                  <w:shd w:val="clear" w:color="auto" w:fill="auto"/>
                </w:tcPr>
                <w:p w:rsidR="00AC6BE1" w:rsidRPr="00AC6BE1" w:rsidRDefault="00AC6BE1" w:rsidP="00AC6BE1">
                  <w:pPr>
                    <w:suppressAutoHyphens/>
                    <w:spacing w:after="0" w:line="240" w:lineRule="auto"/>
                    <w:ind w:left="-112" w:firstLine="112"/>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2,0</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2</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Комната охраны</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7,2</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Комната персонала</w:t>
                  </w:r>
                </w:p>
              </w:tc>
              <w:tc>
                <w:tcPr>
                  <w:tcW w:w="1417" w:type="dxa"/>
                  <w:shd w:val="clear" w:color="auto" w:fill="auto"/>
                </w:tcPr>
                <w:p w:rsidR="00AC6BE1" w:rsidRPr="00AC6BE1" w:rsidRDefault="00AC6BE1" w:rsidP="00AC6BE1">
                  <w:pPr>
                    <w:suppressAutoHyphens/>
                    <w:spacing w:after="0" w:line="240" w:lineRule="auto"/>
                    <w:ind w:right="-89"/>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5,0</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4</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Санузел</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3,8</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Склад</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3,4</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6</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Холл</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53,0</w:t>
                  </w:r>
                </w:p>
              </w:tc>
            </w:tr>
          </w:tbl>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AC6BE1" w:rsidRPr="00AC6BE1" w:rsidTr="00151F62">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6.</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Адрес установки</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tc>
      </w:tr>
    </w:tbl>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 xml:space="preserve">до 25-го числа месяца, следующего за </w:t>
      </w:r>
      <w:r w:rsidR="00CB0C72" w:rsidRPr="006D2B0F">
        <w:rPr>
          <w:rFonts w:ascii="Sylfaen" w:eastAsia="Times New Roman" w:hAnsi="Sylfaen" w:cs="Times New Roman"/>
          <w:bCs/>
          <w:sz w:val="24"/>
          <w:szCs w:val="24"/>
          <w:lang w:eastAsia="ru-RU"/>
        </w:rPr>
        <w:lastRenderedPageBreak/>
        <w:t>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3C00B9"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B3DC4">
        <w:rPr>
          <w:rFonts w:ascii="Times New Roman" w:hAnsi="Times New Roman" w:cs="Times New Roman"/>
          <w:bCs/>
          <w:sz w:val="24"/>
          <w:szCs w:val="24"/>
        </w:rPr>
        <w:t>павильон визит-центра</w:t>
      </w:r>
      <w:r w:rsidR="007B3DC4"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3C00B9">
        <w:rPr>
          <w:rFonts w:ascii="Times New Roman" w:hAnsi="Times New Roman" w:cs="Times New Roman"/>
          <w:b/>
          <w:sz w:val="24"/>
          <w:szCs w:val="24"/>
        </w:rPr>
        <w:t xml:space="preserve">180 840 </w:t>
      </w:r>
      <w:r w:rsidR="003C00B9">
        <w:rPr>
          <w:rFonts w:ascii="Sylfaen" w:hAnsi="Sylfaen" w:cs="Times New Roman"/>
          <w:sz w:val="24"/>
          <w:szCs w:val="24"/>
        </w:rPr>
        <w:t>(сто восемьдесят тысяч восемьсот сорок) рублей 02 копейки</w:t>
      </w:r>
      <w:r w:rsidR="003C00B9" w:rsidRPr="00CF07B7">
        <w:rPr>
          <w:rFonts w:ascii="Sylfaen" w:hAnsi="Sylfaen" w:cs="Times New Roman"/>
          <w:sz w:val="24"/>
          <w:szCs w:val="24"/>
        </w:rPr>
        <w:t xml:space="preserve">. </w:t>
      </w:r>
      <w:bookmarkStart w:id="1" w:name="_GoBack"/>
      <w:bookmarkEnd w:id="1"/>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9"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36207"/>
    <w:rsid w:val="000434E6"/>
    <w:rsid w:val="00044A6A"/>
    <w:rsid w:val="00050125"/>
    <w:rsid w:val="0005242A"/>
    <w:rsid w:val="0005335F"/>
    <w:rsid w:val="00063122"/>
    <w:rsid w:val="00064445"/>
    <w:rsid w:val="00066CE9"/>
    <w:rsid w:val="00071BBF"/>
    <w:rsid w:val="00076937"/>
    <w:rsid w:val="00077B2D"/>
    <w:rsid w:val="000802A3"/>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22FCF"/>
    <w:rsid w:val="00131404"/>
    <w:rsid w:val="00144496"/>
    <w:rsid w:val="00151F62"/>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2713C"/>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7C2"/>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2F3D4F"/>
    <w:rsid w:val="002F7E97"/>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0B9"/>
    <w:rsid w:val="003C031E"/>
    <w:rsid w:val="003C321C"/>
    <w:rsid w:val="003D1332"/>
    <w:rsid w:val="003E32BF"/>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4B9"/>
    <w:rsid w:val="004C1FFB"/>
    <w:rsid w:val="004C2580"/>
    <w:rsid w:val="004C310C"/>
    <w:rsid w:val="004D1D1F"/>
    <w:rsid w:val="004D3D09"/>
    <w:rsid w:val="004D3E37"/>
    <w:rsid w:val="004D5CA7"/>
    <w:rsid w:val="004D75E1"/>
    <w:rsid w:val="004E2531"/>
    <w:rsid w:val="004E3EAB"/>
    <w:rsid w:val="004E6002"/>
    <w:rsid w:val="004E7EFB"/>
    <w:rsid w:val="004F39D1"/>
    <w:rsid w:val="004F5838"/>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1D0"/>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071B"/>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63BC"/>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5014"/>
    <w:rsid w:val="00686463"/>
    <w:rsid w:val="0069087A"/>
    <w:rsid w:val="00690A64"/>
    <w:rsid w:val="006916C9"/>
    <w:rsid w:val="00691ABA"/>
    <w:rsid w:val="00694C17"/>
    <w:rsid w:val="00696814"/>
    <w:rsid w:val="00697788"/>
    <w:rsid w:val="006B0E5C"/>
    <w:rsid w:val="006B43C4"/>
    <w:rsid w:val="006C51F7"/>
    <w:rsid w:val="006C6409"/>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3DC4"/>
    <w:rsid w:val="007B4400"/>
    <w:rsid w:val="007C2F87"/>
    <w:rsid w:val="007C5C5B"/>
    <w:rsid w:val="007C6387"/>
    <w:rsid w:val="007D0D14"/>
    <w:rsid w:val="007D25BA"/>
    <w:rsid w:val="007D5B40"/>
    <w:rsid w:val="007D5C7F"/>
    <w:rsid w:val="007D6FEA"/>
    <w:rsid w:val="007E26AF"/>
    <w:rsid w:val="007E29BA"/>
    <w:rsid w:val="007E3EF8"/>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C6BE1"/>
    <w:rsid w:val="00AD05B2"/>
    <w:rsid w:val="00AD0DE4"/>
    <w:rsid w:val="00AD22F4"/>
    <w:rsid w:val="00AD4D1E"/>
    <w:rsid w:val="00AD7992"/>
    <w:rsid w:val="00AE63FA"/>
    <w:rsid w:val="00AE7C1B"/>
    <w:rsid w:val="00B02931"/>
    <w:rsid w:val="00B02FD2"/>
    <w:rsid w:val="00B16165"/>
    <w:rsid w:val="00B17D77"/>
    <w:rsid w:val="00B21D65"/>
    <w:rsid w:val="00B21EE0"/>
    <w:rsid w:val="00B27FC7"/>
    <w:rsid w:val="00B31B87"/>
    <w:rsid w:val="00B34127"/>
    <w:rsid w:val="00B35AE3"/>
    <w:rsid w:val="00B3794F"/>
    <w:rsid w:val="00B50F74"/>
    <w:rsid w:val="00B53055"/>
    <w:rsid w:val="00B5316A"/>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4486"/>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5767"/>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046"/>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175CE"/>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krasgorpar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krasgorpark.ru/" TargetMode="External"/><Relationship Id="rId7" Type="http://schemas.openxmlformats.org/officeDocument/2006/relationships/hyperlink" Target="https://www.rts-tender.ru/" TargetMode="External"/><Relationship Id="rId12" Type="http://schemas.openxmlformats.org/officeDocument/2006/relationships/hyperlink" Target="https://www.rts-tender.ru/" TargetMode="External"/><Relationship Id="rId17" Type="http://schemas.openxmlformats.org/officeDocument/2006/relationships/hyperlink" Target="https://krasgorpark.ru/" TargetMode="External"/><Relationship Id="rId25" Type="http://schemas.openxmlformats.org/officeDocument/2006/relationships/hyperlink" Target="https://krasgorpark.ru/" TargetMode="External"/><Relationship Id="rId2" Type="http://schemas.openxmlformats.org/officeDocument/2006/relationships/numbering" Target="numbering.xml"/><Relationship Id="rId16" Type="http://schemas.openxmlformats.org/officeDocument/2006/relationships/hyperlink" Target="consultantplus://offline/ref=6DB23826C9DE1C59391052560CB682C33196027C49D7F25593C22074C20F5A85A3429E707F015C559F943AFA7BD91C9537801CCA30rBnAF" TargetMode="External"/><Relationship Id="rId20" Type="http://schemas.openxmlformats.org/officeDocument/2006/relationships/hyperlink" Target="consultantplus://offline/ref=6DB23826C9DE1C59391052560CB682C331990D7948DAF25593C22074C20F5A85A3429E747E015601CFDB3BA63F850F9537801EC32CB92B3Dr7n8F" TargetMode="External"/><Relationship Id="rId29" Type="http://schemas.openxmlformats.org/officeDocument/2006/relationships/hyperlink" Target="mailto:krasgorpark@mailkrsk.ru" TargetMode="Externa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krasgorpark.ru/" TargetMode="External"/><Relationship Id="rId24"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krasgorpark.ru/" TargetMode="External"/><Relationship Id="rId28" Type="http://schemas.openxmlformats.org/officeDocument/2006/relationships/hyperlink" Target="https://krasgorpark.ru/" TargetMode="External"/><Relationship Id="rId10" Type="http://schemas.openxmlformats.org/officeDocument/2006/relationships/hyperlink" Target="mailto:krasgorpark@mailkrsk.ru" TargetMode="External"/><Relationship Id="rId19" Type="http://schemas.openxmlformats.org/officeDocument/2006/relationships/hyperlink" Target="https://www.rts-tende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krasgorpark.ru/" TargetMode="External"/><Relationship Id="rId22" Type="http://schemas.openxmlformats.org/officeDocument/2006/relationships/hyperlink" Target="https://www.rts-tender.ru/" TargetMode="External"/><Relationship Id="rId27" Type="http://schemas.openxmlformats.org/officeDocument/2006/relationships/hyperlink" Target="https://www.rts-tende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38B51-F9F4-44C9-83FF-B37258C7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22</Pages>
  <Words>8243</Words>
  <Characters>46986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48</cp:revision>
  <cp:lastPrinted>2024-05-16T03:46:00Z</cp:lastPrinted>
  <dcterms:created xsi:type="dcterms:W3CDTF">2024-05-02T03:18:00Z</dcterms:created>
  <dcterms:modified xsi:type="dcterms:W3CDTF">2024-08-15T06:32:00Z</dcterms:modified>
</cp:coreProperties>
</file>